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789"/>
        <w:gridCol w:w="2789"/>
        <w:gridCol w:w="2790"/>
        <w:gridCol w:w="2790"/>
        <w:gridCol w:w="2790"/>
      </w:tblGrid>
      <w:tr w:rsidR="00234689" w:rsidTr="00234689">
        <w:tc>
          <w:tcPr>
            <w:tcW w:w="2789" w:type="dxa"/>
          </w:tcPr>
          <w:p w:rsidR="00234689" w:rsidRDefault="00234689" w:rsidP="00234689">
            <w:pPr>
              <w:jc w:val="center"/>
            </w:pPr>
            <w:bookmarkStart w:id="0" w:name="_GoBack"/>
            <w:bookmarkEnd w:id="0"/>
            <w:r w:rsidRPr="005102E2">
              <w:rPr>
                <w:rFonts w:ascii="Lato" w:hAnsi="Lato" w:cs="Lato"/>
                <w:b/>
                <w:bCs/>
                <w:color w:val="000000"/>
                <w:sz w:val="16"/>
                <w:szCs w:val="16"/>
              </w:rPr>
              <w:t>Region 1 – Central</w:t>
            </w:r>
          </w:p>
        </w:tc>
        <w:tc>
          <w:tcPr>
            <w:tcW w:w="2789" w:type="dxa"/>
          </w:tcPr>
          <w:p w:rsidR="00234689" w:rsidRDefault="00234689" w:rsidP="00234689">
            <w:pPr>
              <w:jc w:val="center"/>
            </w:pPr>
            <w:r w:rsidRPr="005102E2">
              <w:rPr>
                <w:rFonts w:ascii="Lato" w:hAnsi="Lato" w:cs="Lato"/>
                <w:b/>
                <w:bCs/>
                <w:color w:val="000000"/>
                <w:sz w:val="16"/>
                <w:szCs w:val="16"/>
              </w:rPr>
              <w:t>Region 2 – Barkly</w:t>
            </w:r>
          </w:p>
        </w:tc>
        <w:tc>
          <w:tcPr>
            <w:tcW w:w="2790" w:type="dxa"/>
          </w:tcPr>
          <w:p w:rsidR="00234689" w:rsidRDefault="00234689" w:rsidP="00234689">
            <w:pPr>
              <w:jc w:val="center"/>
            </w:pPr>
            <w:r w:rsidRPr="005102E2">
              <w:rPr>
                <w:rFonts w:ascii="Lato" w:hAnsi="Lato" w:cs="Lato"/>
                <w:b/>
                <w:bCs/>
                <w:color w:val="000000"/>
                <w:sz w:val="16"/>
                <w:szCs w:val="16"/>
              </w:rPr>
              <w:t>Region 3 – Big Rivers</w:t>
            </w:r>
          </w:p>
        </w:tc>
        <w:tc>
          <w:tcPr>
            <w:tcW w:w="2790" w:type="dxa"/>
          </w:tcPr>
          <w:p w:rsidR="00234689" w:rsidRDefault="00234689" w:rsidP="00234689">
            <w:pPr>
              <w:jc w:val="center"/>
            </w:pPr>
            <w:r w:rsidRPr="005102E2">
              <w:rPr>
                <w:rFonts w:ascii="Lato" w:hAnsi="Lato" w:cs="Lato"/>
                <w:b/>
                <w:bCs/>
                <w:color w:val="000000"/>
                <w:sz w:val="16"/>
                <w:szCs w:val="16"/>
              </w:rPr>
              <w:t>Region 4 – East Arnhem</w:t>
            </w:r>
          </w:p>
        </w:tc>
        <w:tc>
          <w:tcPr>
            <w:tcW w:w="2790" w:type="dxa"/>
          </w:tcPr>
          <w:p w:rsidR="00234689" w:rsidRDefault="00234689" w:rsidP="00234689">
            <w:pPr>
              <w:jc w:val="center"/>
            </w:pPr>
            <w:r w:rsidRPr="005102E2">
              <w:rPr>
                <w:rFonts w:ascii="Lato" w:hAnsi="Lato" w:cs="Lato"/>
                <w:b/>
                <w:bCs/>
                <w:color w:val="000000"/>
                <w:sz w:val="16"/>
                <w:szCs w:val="16"/>
              </w:rPr>
              <w:t>Region 5 – Top End</w:t>
            </w:r>
          </w:p>
        </w:tc>
      </w:tr>
      <w:tr w:rsidR="00234689" w:rsidTr="00234689">
        <w:tc>
          <w:tcPr>
            <w:tcW w:w="2789"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Aputula</w:t>
            </w:r>
            <w:proofErr w:type="spellEnd"/>
            <w:r w:rsidRPr="005102E2">
              <w:rPr>
                <w:rFonts w:ascii="Lato" w:hAnsi="Lato" w:cs="Lato"/>
                <w:b/>
                <w:bCs/>
                <w:color w:val="000000"/>
                <w:sz w:val="16"/>
                <w:szCs w:val="16"/>
              </w:rPr>
              <w:t xml:space="preserve">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w:t>
            </w:r>
          </w:p>
          <w:p w:rsidR="00234689"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To provide the AAC Board with governance training and review of operations through MLCS Chartered Accountants and Business Advisors</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 </w:t>
            </w:r>
          </w:p>
          <w:p w:rsidR="00234689" w:rsidRDefault="00234689" w:rsidP="00234689">
            <w:pPr>
              <w:jc w:val="right"/>
              <w:rPr>
                <w:rFonts w:ascii="Lato" w:hAnsi="Lato" w:cs="Lato"/>
                <w:b/>
                <w:bCs/>
                <w:color w:val="000000"/>
                <w:sz w:val="16"/>
                <w:szCs w:val="16"/>
              </w:rPr>
            </w:pPr>
          </w:p>
          <w:p w:rsidR="00234689" w:rsidRDefault="00234689" w:rsidP="00234689">
            <w:pPr>
              <w:jc w:val="right"/>
              <w:rPr>
                <w:rFonts w:ascii="Lato" w:hAnsi="Lato" w:cs="Lato"/>
                <w:b/>
                <w:bCs/>
                <w:color w:val="000000"/>
                <w:sz w:val="16"/>
                <w:szCs w:val="16"/>
              </w:rPr>
            </w:pPr>
          </w:p>
          <w:p w:rsidR="00234689" w:rsidRDefault="00234689" w:rsidP="00234689">
            <w:pPr>
              <w:jc w:val="right"/>
              <w:rPr>
                <w:rFonts w:ascii="Lato" w:hAnsi="Lato" w:cs="Lato"/>
                <w:b/>
                <w:bCs/>
                <w:color w:val="000000"/>
                <w:sz w:val="16"/>
                <w:szCs w:val="16"/>
              </w:rPr>
            </w:pPr>
          </w:p>
          <w:p w:rsidR="00234689" w:rsidRDefault="00234689" w:rsidP="003F3C62">
            <w:pPr>
              <w:jc w:val="right"/>
            </w:pPr>
            <w:r w:rsidRPr="005102E2">
              <w:rPr>
                <w:rFonts w:ascii="Lato" w:hAnsi="Lato" w:cs="Lato"/>
                <w:b/>
                <w:bCs/>
                <w:color w:val="000000"/>
                <w:sz w:val="16"/>
                <w:szCs w:val="16"/>
              </w:rPr>
              <w:t>$19,600</w:t>
            </w:r>
          </w:p>
        </w:tc>
        <w:tc>
          <w:tcPr>
            <w:tcW w:w="2789"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Julalikari</w:t>
            </w:r>
            <w:proofErr w:type="spellEnd"/>
            <w:r w:rsidRPr="005102E2">
              <w:rPr>
                <w:rFonts w:ascii="Lato" w:hAnsi="Lato" w:cs="Lato"/>
                <w:b/>
                <w:bCs/>
                <w:color w:val="000000"/>
                <w:sz w:val="16"/>
                <w:szCs w:val="16"/>
              </w:rPr>
              <w:t xml:space="preserve"> Council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the development, implementation and empowerment of governance structures and engagement processes targeting the seven town camps and community living areas. </w:t>
            </w:r>
          </w:p>
          <w:p w:rsidR="003F3C62" w:rsidRDefault="003F3C62" w:rsidP="003F3C62">
            <w:pPr>
              <w:jc w:val="right"/>
              <w:rPr>
                <w:rFonts w:ascii="Lato" w:hAnsi="Lato" w:cs="Lato"/>
                <w:b/>
                <w:bCs/>
                <w:color w:val="000000"/>
                <w:sz w:val="16"/>
                <w:szCs w:val="16"/>
              </w:rPr>
            </w:pPr>
          </w:p>
          <w:p w:rsidR="003F3C62" w:rsidRDefault="003F3C62" w:rsidP="003F3C62">
            <w:pPr>
              <w:jc w:val="right"/>
              <w:rPr>
                <w:rFonts w:ascii="Lato" w:hAnsi="Lato" w:cs="Lato"/>
                <w:b/>
                <w:bCs/>
                <w:color w:val="000000"/>
                <w:sz w:val="16"/>
                <w:szCs w:val="16"/>
              </w:rPr>
            </w:pPr>
          </w:p>
          <w:p w:rsidR="00234689" w:rsidRDefault="00234689" w:rsidP="003F3C62">
            <w:pPr>
              <w:jc w:val="right"/>
            </w:pPr>
            <w:r w:rsidRPr="005102E2">
              <w:rPr>
                <w:rFonts w:ascii="Lato" w:hAnsi="Lato" w:cs="Lato"/>
                <w:b/>
                <w:bCs/>
                <w:color w:val="000000"/>
                <w:sz w:val="16"/>
                <w:szCs w:val="16"/>
              </w:rPr>
              <w:t>$50,000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Mungoorbada</w:t>
            </w:r>
            <w:proofErr w:type="spellEnd"/>
            <w:r w:rsidRPr="005102E2">
              <w:rPr>
                <w:rFonts w:ascii="Lato" w:hAnsi="Lato" w:cs="Lato"/>
                <w:b/>
                <w:bCs/>
                <w:color w:val="000000"/>
                <w:sz w:val="16"/>
                <w:szCs w:val="16"/>
              </w:rPr>
              <w:t xml:space="preserve">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Aboriginal Corporation </w:t>
            </w:r>
            <w:r w:rsidRPr="005102E2">
              <w:rPr>
                <w:rFonts w:ascii="Lato" w:hAnsi="Lato" w:cs="Lato"/>
                <w:color w:val="000000"/>
                <w:sz w:val="16"/>
                <w:szCs w:val="16"/>
              </w:rPr>
              <w:t xml:space="preserve">(Robinson River)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Functional Capacity &amp; Strategic Capability Improvement – Phases 1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build capability, capacity and commitment to re-engage previously held commercial contracts. </w:t>
            </w:r>
          </w:p>
          <w:p w:rsidR="00234689" w:rsidRPr="00234689" w:rsidRDefault="00234689" w:rsidP="003F3C62">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$40,000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Gong-Dal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Inter-cultural Engagement Officer (ICEO)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contribute to the engagement of an ICEO to support the capacity development of the corporation to lead and guide local decision making and regional economic development. </w:t>
            </w:r>
          </w:p>
          <w:p w:rsidR="00234689" w:rsidRDefault="00234689" w:rsidP="00234689">
            <w:pPr>
              <w:jc w:val="right"/>
              <w:rPr>
                <w:rFonts w:ascii="Lato" w:hAnsi="Lato" w:cs="Lato"/>
                <w:b/>
                <w:bCs/>
                <w:color w:val="000000"/>
                <w:sz w:val="16"/>
                <w:szCs w:val="16"/>
              </w:rPr>
            </w:pPr>
          </w:p>
          <w:p w:rsidR="00234689" w:rsidRDefault="00234689" w:rsidP="003F3C62">
            <w:pPr>
              <w:jc w:val="right"/>
            </w:pPr>
            <w:r w:rsidRPr="005102E2">
              <w:rPr>
                <w:rFonts w:ascii="Lato" w:hAnsi="Lato" w:cs="Lato"/>
                <w:b/>
                <w:bCs/>
                <w:color w:val="000000"/>
                <w:sz w:val="16"/>
                <w:szCs w:val="16"/>
              </w:rPr>
              <w:t>$50,000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Bawinanga</w:t>
            </w:r>
            <w:proofErr w:type="spellEnd"/>
            <w:r w:rsidRPr="005102E2">
              <w:rPr>
                <w:rFonts w:ascii="Lato" w:hAnsi="Lato" w:cs="Lato"/>
                <w:b/>
                <w:bCs/>
                <w:color w:val="000000"/>
                <w:sz w:val="16"/>
                <w:szCs w:val="16"/>
              </w:rPr>
              <w:t xml:space="preserve">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w:t>
            </w:r>
            <w:proofErr w:type="spellStart"/>
            <w:r w:rsidRPr="005102E2">
              <w:rPr>
                <w:rFonts w:ascii="Lato" w:hAnsi="Lato" w:cs="Lato"/>
                <w:color w:val="000000"/>
                <w:sz w:val="16"/>
                <w:szCs w:val="16"/>
              </w:rPr>
              <w:t>Bawinanga</w:t>
            </w:r>
            <w:proofErr w:type="spellEnd"/>
            <w:r w:rsidRPr="005102E2">
              <w:rPr>
                <w:rFonts w:ascii="Lato" w:hAnsi="Lato" w:cs="Lato"/>
                <w:color w:val="000000"/>
                <w:sz w:val="16"/>
                <w:szCs w:val="16"/>
              </w:rPr>
              <w:t xml:space="preserve"> Finance Review </w:t>
            </w:r>
          </w:p>
          <w:p w:rsidR="00234689" w:rsidRPr="003F3C62" w:rsidRDefault="00234689"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improve the capacity of BAC to accurately monitor and evaluate performance, and to provide timely and reliable reports to BAC Board and other parties, ensuring financial accountability, decision making and leadership grow at all levels of the organisation </w:t>
            </w:r>
          </w:p>
          <w:p w:rsidR="00234689" w:rsidRPr="00234689" w:rsidRDefault="00234689" w:rsidP="00234689">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$45,500 </w:t>
            </w:r>
          </w:p>
        </w:tc>
      </w:tr>
      <w:tr w:rsidR="00234689" w:rsidTr="00234689">
        <w:tc>
          <w:tcPr>
            <w:tcW w:w="2789" w:type="dxa"/>
          </w:tcPr>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Yuendumu Women’s Centre Aboriginal Corporation </w:t>
            </w:r>
            <w:proofErr w:type="spellStart"/>
            <w:r w:rsidRPr="005102E2">
              <w:rPr>
                <w:rFonts w:ascii="Lato" w:hAnsi="Lato" w:cs="Lato"/>
                <w:b/>
                <w:bCs/>
                <w:color w:val="000000"/>
                <w:sz w:val="16"/>
                <w:szCs w:val="16"/>
              </w:rPr>
              <w:t>Inc</w:t>
            </w:r>
            <w:proofErr w:type="spellEnd"/>
            <w:r w:rsidRPr="005102E2">
              <w:rPr>
                <w:rFonts w:ascii="Lato" w:hAnsi="Lato" w:cs="Lato"/>
                <w:b/>
                <w:bCs/>
                <w:color w:val="000000"/>
                <w:sz w:val="16"/>
                <w:szCs w:val="16"/>
              </w:rPr>
              <w:t xml:space="preserve">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Think Big: keeping control of our organisation </w:t>
            </w:r>
          </w:p>
          <w:p w:rsidR="00234689"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To support facilitated workshops where Yuendumu women – members, Directors, staff and prospective members – will be assisted to look at all the issues and opportunities with</w:t>
            </w:r>
            <w:r>
              <w:rPr>
                <w:rFonts w:ascii="Lato" w:hAnsi="Lato" w:cs="Lato"/>
                <w:color w:val="000000"/>
                <w:sz w:val="16"/>
                <w:szCs w:val="16"/>
              </w:rPr>
              <w:t xml:space="preserve"> ‘Thinking Big’ and realising g</w:t>
            </w:r>
            <w:r w:rsidRPr="005102E2">
              <w:rPr>
                <w:rFonts w:ascii="Lato" w:hAnsi="Lato" w:cs="Lato"/>
                <w:color w:val="000000"/>
                <w:sz w:val="16"/>
                <w:szCs w:val="16"/>
              </w:rPr>
              <w:t>o</w:t>
            </w:r>
            <w:r>
              <w:rPr>
                <w:rFonts w:ascii="Lato" w:hAnsi="Lato" w:cs="Lato"/>
                <w:color w:val="000000"/>
                <w:sz w:val="16"/>
                <w:szCs w:val="16"/>
              </w:rPr>
              <w:t>a</w:t>
            </w:r>
            <w:r w:rsidRPr="005102E2">
              <w:rPr>
                <w:rFonts w:ascii="Lato" w:hAnsi="Lato" w:cs="Lato"/>
                <w:color w:val="000000"/>
                <w:sz w:val="16"/>
                <w:szCs w:val="16"/>
              </w:rPr>
              <w:t xml:space="preserve">ls. </w:t>
            </w:r>
          </w:p>
          <w:p w:rsidR="00234689" w:rsidRPr="005102E2" w:rsidRDefault="00234689" w:rsidP="00234689">
            <w:pPr>
              <w:autoSpaceDE w:val="0"/>
              <w:autoSpaceDN w:val="0"/>
              <w:adjustRightInd w:val="0"/>
              <w:rPr>
                <w:rFonts w:ascii="Lato" w:hAnsi="Lato" w:cs="Lato"/>
                <w:color w:val="000000"/>
                <w:sz w:val="16"/>
                <w:szCs w:val="16"/>
              </w:rPr>
            </w:pPr>
          </w:p>
          <w:p w:rsidR="003F3C62" w:rsidRDefault="003F3C62" w:rsidP="00234689">
            <w:pPr>
              <w:jc w:val="right"/>
              <w:rPr>
                <w:rFonts w:ascii="Lato" w:hAnsi="Lato" w:cs="Lato"/>
                <w:b/>
                <w:bCs/>
                <w:color w:val="000000"/>
                <w:sz w:val="16"/>
                <w:szCs w:val="16"/>
              </w:rPr>
            </w:pPr>
          </w:p>
          <w:p w:rsidR="00234689" w:rsidRDefault="00234689" w:rsidP="00234689">
            <w:pPr>
              <w:jc w:val="right"/>
            </w:pPr>
            <w:r w:rsidRPr="005102E2">
              <w:rPr>
                <w:rFonts w:ascii="Lato" w:hAnsi="Lato" w:cs="Lato"/>
                <w:b/>
                <w:bCs/>
                <w:color w:val="000000"/>
                <w:sz w:val="16"/>
                <w:szCs w:val="16"/>
              </w:rPr>
              <w:t>$20,000</w:t>
            </w:r>
          </w:p>
        </w:tc>
        <w:tc>
          <w:tcPr>
            <w:tcW w:w="2789" w:type="dxa"/>
          </w:tcPr>
          <w:p w:rsidR="00234689" w:rsidRPr="00234689" w:rsidRDefault="00234689" w:rsidP="00234689">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 </w:t>
            </w:r>
          </w:p>
        </w:tc>
        <w:tc>
          <w:tcPr>
            <w:tcW w:w="2790" w:type="dxa"/>
          </w:tcPr>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Gurindji Aboriginal Corporation RNTBC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Capacity Building for Gurindji Aboriginal Corporation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engage professional services to support the Aboriginal Corporation to continue to build its governance training, upgrade policies to ensure compliance across all its three entities as per relevant legislative guidelines. </w:t>
            </w:r>
          </w:p>
          <w:p w:rsidR="003F3C62" w:rsidRDefault="003F3C62" w:rsidP="003F3C62">
            <w:pPr>
              <w:autoSpaceDE w:val="0"/>
              <w:autoSpaceDN w:val="0"/>
              <w:adjustRightInd w:val="0"/>
              <w:rPr>
                <w:rFonts w:ascii="Lato" w:hAnsi="Lato" w:cs="Lato"/>
                <w:b/>
                <w:bCs/>
                <w:color w:val="000000"/>
                <w:sz w:val="16"/>
                <w:szCs w:val="16"/>
              </w:rPr>
            </w:pPr>
          </w:p>
          <w:p w:rsidR="003F3C62" w:rsidRDefault="003F3C62" w:rsidP="003F3C62">
            <w:pPr>
              <w:jc w:val="right"/>
              <w:rPr>
                <w:rFonts w:ascii="Lato" w:hAnsi="Lato" w:cs="Lato"/>
                <w:b/>
                <w:bCs/>
                <w:color w:val="000000"/>
                <w:sz w:val="16"/>
                <w:szCs w:val="16"/>
              </w:rPr>
            </w:pPr>
          </w:p>
          <w:p w:rsidR="00234689" w:rsidRDefault="003F3C62" w:rsidP="003F3C62">
            <w:pPr>
              <w:jc w:val="right"/>
            </w:pPr>
            <w:r w:rsidRPr="005102E2">
              <w:rPr>
                <w:rFonts w:ascii="Lato" w:hAnsi="Lato" w:cs="Lato"/>
                <w:b/>
                <w:bCs/>
                <w:color w:val="000000"/>
                <w:sz w:val="16"/>
                <w:szCs w:val="16"/>
              </w:rPr>
              <w:t>$40,000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Baniyala</w:t>
            </w:r>
            <w:proofErr w:type="spellEnd"/>
            <w:r w:rsidRPr="005102E2">
              <w:rPr>
                <w:rFonts w:ascii="Lato" w:hAnsi="Lato" w:cs="Lato"/>
                <w:b/>
                <w:bCs/>
                <w:color w:val="000000"/>
                <w:sz w:val="16"/>
                <w:szCs w:val="16"/>
              </w:rPr>
              <w:t xml:space="preserve"> </w:t>
            </w:r>
            <w:proofErr w:type="spellStart"/>
            <w:r w:rsidRPr="005102E2">
              <w:rPr>
                <w:rFonts w:ascii="Lato" w:hAnsi="Lato" w:cs="Lato"/>
                <w:b/>
                <w:bCs/>
                <w:color w:val="000000"/>
                <w:sz w:val="16"/>
                <w:szCs w:val="16"/>
              </w:rPr>
              <w:t>Garrangali</w:t>
            </w:r>
            <w:proofErr w:type="spellEnd"/>
            <w:r w:rsidRPr="005102E2">
              <w:rPr>
                <w:rFonts w:ascii="Lato" w:hAnsi="Lato" w:cs="Lato"/>
                <w:b/>
                <w:bCs/>
                <w:color w:val="000000"/>
                <w:sz w:val="16"/>
                <w:szCs w:val="16"/>
              </w:rPr>
              <w:t xml:space="preserve">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w:t>
            </w:r>
            <w:proofErr w:type="spellStart"/>
            <w:r w:rsidRPr="005102E2">
              <w:rPr>
                <w:rFonts w:ascii="Lato" w:hAnsi="Lato" w:cs="Lato"/>
                <w:color w:val="000000"/>
                <w:sz w:val="16"/>
                <w:szCs w:val="16"/>
              </w:rPr>
              <w:t>Djalkiripuyngu</w:t>
            </w:r>
            <w:proofErr w:type="spellEnd"/>
            <w:r w:rsidRPr="005102E2">
              <w:rPr>
                <w:rFonts w:ascii="Lato" w:hAnsi="Lato" w:cs="Lato"/>
                <w:color w:val="000000"/>
                <w:sz w:val="16"/>
                <w:szCs w:val="16"/>
              </w:rPr>
              <w:t xml:space="preserve"> Executive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the leaders to establish a regional executive for the homelands network around Blue Mud Bay including working with NLC, CSIRO and BGAC. </w:t>
            </w:r>
          </w:p>
          <w:p w:rsidR="00234689" w:rsidRDefault="00234689" w:rsidP="00234689">
            <w:pPr>
              <w:autoSpaceDE w:val="0"/>
              <w:autoSpaceDN w:val="0"/>
              <w:adjustRightInd w:val="0"/>
              <w:rPr>
                <w:rFonts w:ascii="Lato" w:hAnsi="Lato" w:cs="Lato"/>
                <w:b/>
                <w:bCs/>
                <w:color w:val="000000"/>
                <w:sz w:val="16"/>
                <w:szCs w:val="16"/>
              </w:rPr>
            </w:pPr>
          </w:p>
          <w:p w:rsidR="003F3C62" w:rsidRDefault="003F3C62" w:rsidP="00234689">
            <w:pPr>
              <w:autoSpaceDE w:val="0"/>
              <w:autoSpaceDN w:val="0"/>
              <w:adjustRightInd w:val="0"/>
              <w:jc w:val="right"/>
              <w:rPr>
                <w:rFonts w:ascii="Lato" w:hAnsi="Lato" w:cs="Lato"/>
                <w:b/>
                <w:bCs/>
                <w:color w:val="000000"/>
                <w:sz w:val="16"/>
                <w:szCs w:val="16"/>
              </w:rPr>
            </w:pPr>
          </w:p>
          <w:p w:rsidR="003F3C62" w:rsidRDefault="003F3C62" w:rsidP="00234689">
            <w:pPr>
              <w:autoSpaceDE w:val="0"/>
              <w:autoSpaceDN w:val="0"/>
              <w:adjustRightInd w:val="0"/>
              <w:jc w:val="right"/>
              <w:rPr>
                <w:rFonts w:ascii="Lato" w:hAnsi="Lato" w:cs="Lato"/>
                <w:b/>
                <w:bCs/>
                <w:color w:val="000000"/>
                <w:sz w:val="16"/>
                <w:szCs w:val="16"/>
              </w:rPr>
            </w:pPr>
          </w:p>
          <w:p w:rsidR="003F3C62" w:rsidRDefault="003F3C62" w:rsidP="00234689">
            <w:pPr>
              <w:autoSpaceDE w:val="0"/>
              <w:autoSpaceDN w:val="0"/>
              <w:adjustRightInd w:val="0"/>
              <w:jc w:val="right"/>
              <w:rPr>
                <w:rFonts w:ascii="Lato" w:hAnsi="Lato" w:cs="Lato"/>
                <w:b/>
                <w:bCs/>
                <w:color w:val="000000"/>
                <w:sz w:val="16"/>
                <w:szCs w:val="16"/>
              </w:rPr>
            </w:pPr>
          </w:p>
          <w:p w:rsidR="003F3C62" w:rsidRDefault="003F3C62" w:rsidP="00234689">
            <w:pPr>
              <w:autoSpaceDE w:val="0"/>
              <w:autoSpaceDN w:val="0"/>
              <w:adjustRightInd w:val="0"/>
              <w:jc w:val="right"/>
              <w:rPr>
                <w:rFonts w:ascii="Lato" w:hAnsi="Lato" w:cs="Lato"/>
                <w:b/>
                <w:bCs/>
                <w:color w:val="000000"/>
                <w:sz w:val="16"/>
                <w:szCs w:val="16"/>
              </w:rPr>
            </w:pPr>
          </w:p>
          <w:p w:rsidR="00234689" w:rsidRPr="003F3C62" w:rsidRDefault="00234689" w:rsidP="003F3C62">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$50,000 </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Mutchirr</w:t>
            </w:r>
            <w:proofErr w:type="spellEnd"/>
            <w:r w:rsidRPr="005102E2">
              <w:rPr>
                <w:rFonts w:ascii="Lato" w:hAnsi="Lato" w:cs="Lato"/>
                <w:b/>
                <w:bCs/>
                <w:color w:val="000000"/>
                <w:sz w:val="16"/>
                <w:szCs w:val="16"/>
              </w:rPr>
              <w:t xml:space="preserve"> Corporation Limited </w:t>
            </w:r>
            <w:proofErr w:type="spellStart"/>
            <w:r w:rsidRPr="005102E2">
              <w:rPr>
                <w:rFonts w:ascii="Lato" w:hAnsi="Lato" w:cs="Lato"/>
                <w:b/>
                <w:bCs/>
                <w:color w:val="000000"/>
                <w:sz w:val="16"/>
                <w:szCs w:val="16"/>
              </w:rPr>
              <w:t>Nganmarriyanga</w:t>
            </w:r>
            <w:proofErr w:type="spellEnd"/>
            <w:r w:rsidRPr="005102E2">
              <w:rPr>
                <w:rFonts w:ascii="Lato" w:hAnsi="Lato" w:cs="Lato"/>
                <w:b/>
                <w:bCs/>
                <w:color w:val="000000"/>
                <w:sz w:val="16"/>
                <w:szCs w:val="16"/>
              </w:rPr>
              <w:t xml:space="preserve"> (</w:t>
            </w:r>
            <w:proofErr w:type="spellStart"/>
            <w:r w:rsidRPr="005102E2">
              <w:rPr>
                <w:rFonts w:ascii="Lato" w:hAnsi="Lato" w:cs="Lato"/>
                <w:b/>
                <w:bCs/>
                <w:color w:val="000000"/>
                <w:sz w:val="16"/>
                <w:szCs w:val="16"/>
              </w:rPr>
              <w:t>Palumpa</w:t>
            </w:r>
            <w:proofErr w:type="spellEnd"/>
            <w:r w:rsidRPr="005102E2">
              <w:rPr>
                <w:rFonts w:ascii="Lato" w:hAnsi="Lato" w:cs="Lato"/>
                <w:b/>
                <w:bCs/>
                <w:color w:val="000000"/>
                <w:sz w:val="16"/>
                <w:szCs w:val="16"/>
              </w:rPr>
              <w:t xml:space="preserve">)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Governance and Capacity Building - Management of Trust Distributions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the engagement of a senior consultant to provide governance and capacity building advice to prepare formal documentation to ensure clear, transparent and well understood Trust funding distribution planning, systems and governance processes. </w:t>
            </w:r>
          </w:p>
          <w:p w:rsidR="00234689" w:rsidRPr="00234689" w:rsidRDefault="00234689" w:rsidP="003F3C62">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$18,800 </w:t>
            </w:r>
          </w:p>
        </w:tc>
      </w:tr>
      <w:tr w:rsidR="00234689" w:rsidTr="00234689">
        <w:tc>
          <w:tcPr>
            <w:tcW w:w="2789" w:type="dxa"/>
          </w:tcPr>
          <w:p w:rsidR="00234689" w:rsidRPr="005102E2" w:rsidRDefault="00234689" w:rsidP="00234689">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Waltja</w:t>
            </w:r>
            <w:proofErr w:type="spellEnd"/>
            <w:r w:rsidRPr="005102E2">
              <w:rPr>
                <w:rFonts w:ascii="Lato" w:hAnsi="Lato" w:cs="Lato"/>
                <w:b/>
                <w:bCs/>
                <w:color w:val="000000"/>
                <w:sz w:val="16"/>
                <w:szCs w:val="16"/>
              </w:rPr>
              <w:t xml:space="preserve"> </w:t>
            </w:r>
            <w:proofErr w:type="spellStart"/>
            <w:r w:rsidRPr="005102E2">
              <w:rPr>
                <w:rFonts w:ascii="Lato" w:hAnsi="Lato" w:cs="Lato"/>
                <w:b/>
                <w:bCs/>
                <w:color w:val="000000"/>
                <w:sz w:val="16"/>
                <w:szCs w:val="16"/>
              </w:rPr>
              <w:t>Tjutangku</w:t>
            </w:r>
            <w:proofErr w:type="spellEnd"/>
            <w:r w:rsidRPr="005102E2">
              <w:rPr>
                <w:rFonts w:ascii="Lato" w:hAnsi="Lato" w:cs="Lato"/>
                <w:b/>
                <w:bCs/>
                <w:color w:val="000000"/>
                <w:sz w:val="16"/>
                <w:szCs w:val="16"/>
              </w:rPr>
              <w:t xml:space="preserve"> </w:t>
            </w:r>
            <w:proofErr w:type="spellStart"/>
            <w:r w:rsidRPr="005102E2">
              <w:rPr>
                <w:rFonts w:ascii="Lato" w:hAnsi="Lato" w:cs="Lato"/>
                <w:b/>
                <w:bCs/>
                <w:color w:val="000000"/>
                <w:sz w:val="16"/>
                <w:szCs w:val="16"/>
              </w:rPr>
              <w:t>Palyapayi</w:t>
            </w:r>
            <w:proofErr w:type="spellEnd"/>
            <w:r w:rsidRPr="005102E2">
              <w:rPr>
                <w:rFonts w:ascii="Lato" w:hAnsi="Lato" w:cs="Lato"/>
                <w:b/>
                <w:bCs/>
                <w:color w:val="000000"/>
                <w:sz w:val="16"/>
                <w:szCs w:val="16"/>
              </w:rPr>
              <w:t xml:space="preserve">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multi-day workshops with Directors, members and future leaders to review current strategic plan and consider the future direction of the Aboriginal led and controlled organisation that supports members’ living in over thirty communities and outstations. </w:t>
            </w:r>
          </w:p>
          <w:p w:rsidR="00234689" w:rsidRDefault="00234689" w:rsidP="00234689">
            <w:pPr>
              <w:jc w:val="right"/>
            </w:pPr>
            <w:r w:rsidRPr="005102E2">
              <w:rPr>
                <w:rFonts w:ascii="Lato" w:hAnsi="Lato" w:cs="Lato"/>
                <w:b/>
                <w:bCs/>
                <w:color w:val="000000"/>
                <w:sz w:val="16"/>
                <w:szCs w:val="16"/>
              </w:rPr>
              <w:t>$34,857</w:t>
            </w:r>
          </w:p>
        </w:tc>
        <w:tc>
          <w:tcPr>
            <w:tcW w:w="2789" w:type="dxa"/>
          </w:tcPr>
          <w:p w:rsidR="00234689" w:rsidRPr="00234689" w:rsidRDefault="00234689" w:rsidP="00234689">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 </w:t>
            </w:r>
          </w:p>
        </w:tc>
        <w:tc>
          <w:tcPr>
            <w:tcW w:w="2790" w:type="dxa"/>
          </w:tcPr>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Ngukurr Arts Aboriginal Corporation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Empower, reflect and restructure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strengthen its governance by working with cultural leaders, art centre directors and special projects boards to look at governance systems, reflect on ways to improve current model. </w:t>
            </w:r>
          </w:p>
          <w:p w:rsidR="00234689" w:rsidRDefault="003F3C62" w:rsidP="003F3C62">
            <w:pPr>
              <w:jc w:val="right"/>
            </w:pPr>
            <w:r w:rsidRPr="005102E2">
              <w:rPr>
                <w:rFonts w:ascii="Lato" w:hAnsi="Lato" w:cs="Lato"/>
                <w:b/>
                <w:bCs/>
                <w:color w:val="000000"/>
                <w:sz w:val="16"/>
                <w:szCs w:val="16"/>
              </w:rPr>
              <w:t>$10,000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 xml:space="preserve">Milingimbi Art &amp; Culture Aboriginal Corporation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w:t>
            </w:r>
            <w:proofErr w:type="spellStart"/>
            <w:r w:rsidRPr="005102E2">
              <w:rPr>
                <w:rFonts w:ascii="Lato" w:hAnsi="Lato" w:cs="Lato"/>
                <w:color w:val="000000"/>
                <w:sz w:val="16"/>
                <w:szCs w:val="16"/>
              </w:rPr>
              <w:t>Djalkirir</w:t>
            </w:r>
            <w:proofErr w:type="spellEnd"/>
            <w:r w:rsidRPr="005102E2">
              <w:rPr>
                <w:rFonts w:ascii="Lato" w:hAnsi="Lato" w:cs="Lato"/>
                <w:color w:val="000000"/>
                <w:sz w:val="16"/>
                <w:szCs w:val="16"/>
              </w:rPr>
              <w:t xml:space="preserve"> </w:t>
            </w:r>
            <w:proofErr w:type="spellStart"/>
            <w:r w:rsidRPr="005102E2">
              <w:rPr>
                <w:rFonts w:ascii="Lato" w:hAnsi="Lato" w:cs="Lato"/>
                <w:color w:val="000000"/>
                <w:sz w:val="16"/>
                <w:szCs w:val="16"/>
              </w:rPr>
              <w:t>Luku</w:t>
            </w:r>
            <w:proofErr w:type="spellEnd"/>
            <w:r w:rsidRPr="005102E2">
              <w:rPr>
                <w:rFonts w:ascii="Lato" w:hAnsi="Lato" w:cs="Lato"/>
                <w:color w:val="000000"/>
                <w:sz w:val="16"/>
                <w:szCs w:val="16"/>
              </w:rPr>
              <w:t xml:space="preserve"> </w:t>
            </w:r>
            <w:proofErr w:type="spellStart"/>
            <w:r w:rsidRPr="005102E2">
              <w:rPr>
                <w:rFonts w:ascii="Lato" w:hAnsi="Lato" w:cs="Lato"/>
                <w:color w:val="000000"/>
                <w:sz w:val="16"/>
                <w:szCs w:val="16"/>
              </w:rPr>
              <w:t>ga</w:t>
            </w:r>
            <w:proofErr w:type="spellEnd"/>
            <w:r w:rsidRPr="005102E2">
              <w:rPr>
                <w:rFonts w:ascii="Lato" w:hAnsi="Lato" w:cs="Lato"/>
                <w:color w:val="000000"/>
                <w:sz w:val="16"/>
                <w:szCs w:val="16"/>
              </w:rPr>
              <w:t xml:space="preserve"> Rom </w:t>
            </w:r>
            <w:proofErr w:type="spellStart"/>
            <w:r w:rsidRPr="005102E2">
              <w:rPr>
                <w:rFonts w:ascii="Lato" w:hAnsi="Lato" w:cs="Lato"/>
                <w:color w:val="000000"/>
                <w:sz w:val="16"/>
                <w:szCs w:val="16"/>
              </w:rPr>
              <w:t>Rapri-gurru</w:t>
            </w:r>
            <w:proofErr w:type="spellEnd"/>
            <w:r w:rsidRPr="005102E2">
              <w:rPr>
                <w:rFonts w:ascii="Lato" w:hAnsi="Lato" w:cs="Lato"/>
                <w:color w:val="000000"/>
                <w:sz w:val="16"/>
                <w:szCs w:val="16"/>
              </w:rPr>
              <w:t xml:space="preserve"> </w:t>
            </w:r>
            <w:proofErr w:type="spellStart"/>
            <w:r w:rsidRPr="005102E2">
              <w:rPr>
                <w:rFonts w:ascii="Lato" w:hAnsi="Lato" w:cs="Lato"/>
                <w:color w:val="000000"/>
                <w:sz w:val="16"/>
                <w:szCs w:val="16"/>
              </w:rPr>
              <w:t>ga</w:t>
            </w:r>
            <w:proofErr w:type="spellEnd"/>
            <w:r w:rsidRPr="005102E2">
              <w:rPr>
                <w:rFonts w:ascii="Lato" w:hAnsi="Lato" w:cs="Lato"/>
                <w:color w:val="000000"/>
                <w:sz w:val="16"/>
                <w:szCs w:val="16"/>
              </w:rPr>
              <w:t xml:space="preserve"> </w:t>
            </w:r>
            <w:proofErr w:type="spellStart"/>
            <w:r w:rsidRPr="005102E2">
              <w:rPr>
                <w:rFonts w:ascii="Lato" w:hAnsi="Lato" w:cs="Lato"/>
                <w:color w:val="000000"/>
                <w:sz w:val="16"/>
                <w:szCs w:val="16"/>
              </w:rPr>
              <w:t>Djlkirir-gurru</w:t>
            </w:r>
            <w:proofErr w:type="spellEnd"/>
            <w:r w:rsidRPr="005102E2">
              <w:rPr>
                <w:rFonts w:ascii="Lato" w:hAnsi="Lato" w:cs="Lato"/>
                <w:color w:val="000000"/>
                <w:sz w:val="16"/>
                <w:szCs w:val="16"/>
              </w:rPr>
              <w:t xml:space="preserve"> ( standing together with law and respect)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Director’s staff and members to think critically about how communication, conflict and decision making occur in the art centre and wider community. </w:t>
            </w:r>
          </w:p>
          <w:p w:rsidR="00234689" w:rsidRDefault="00234689" w:rsidP="00234689">
            <w:pPr>
              <w:jc w:val="right"/>
            </w:pPr>
            <w:r w:rsidRPr="005102E2">
              <w:rPr>
                <w:rFonts w:ascii="Lato" w:hAnsi="Lato" w:cs="Lato"/>
                <w:b/>
                <w:bCs/>
                <w:color w:val="000000"/>
                <w:sz w:val="16"/>
                <w:szCs w:val="16"/>
              </w:rPr>
              <w:t>$8,100</w:t>
            </w:r>
          </w:p>
        </w:tc>
        <w:tc>
          <w:tcPr>
            <w:tcW w:w="2790" w:type="dxa"/>
          </w:tcPr>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b/>
                <w:bCs/>
                <w:color w:val="000000"/>
                <w:sz w:val="16"/>
                <w:szCs w:val="16"/>
              </w:rPr>
              <w:t>DEMED Aboriginal Corporation (</w:t>
            </w:r>
            <w:proofErr w:type="spellStart"/>
            <w:r w:rsidRPr="005102E2">
              <w:rPr>
                <w:rFonts w:ascii="Lato" w:hAnsi="Lato" w:cs="Lato"/>
                <w:b/>
                <w:bCs/>
                <w:color w:val="000000"/>
                <w:sz w:val="16"/>
                <w:szCs w:val="16"/>
              </w:rPr>
              <w:t>Gunbalanya</w:t>
            </w:r>
            <w:proofErr w:type="spellEnd"/>
            <w:r w:rsidRPr="005102E2">
              <w:rPr>
                <w:rFonts w:ascii="Lato" w:hAnsi="Lato" w:cs="Lato"/>
                <w:b/>
                <w:bCs/>
                <w:color w:val="000000"/>
                <w:sz w:val="16"/>
                <w:szCs w:val="16"/>
              </w:rPr>
              <w:t xml:space="preserve">) </w:t>
            </w:r>
          </w:p>
          <w:p w:rsidR="00234689" w:rsidRPr="005102E2" w:rsidRDefault="00234689" w:rsidP="00234689">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to provide a tailored governance program using local content and stories to strengthen the Board of Management and their understand of their roles and responsibilities, while taking ownership of its new strategic plan and links to LDM. </w:t>
            </w:r>
          </w:p>
          <w:p w:rsidR="00234689" w:rsidRDefault="00234689" w:rsidP="00234689">
            <w:pPr>
              <w:jc w:val="right"/>
            </w:pPr>
            <w:r w:rsidRPr="005102E2">
              <w:rPr>
                <w:rFonts w:ascii="Lato" w:hAnsi="Lato" w:cs="Lato"/>
                <w:b/>
                <w:bCs/>
                <w:color w:val="000000"/>
                <w:sz w:val="16"/>
                <w:szCs w:val="16"/>
              </w:rPr>
              <w:t>$42, 720</w:t>
            </w:r>
          </w:p>
        </w:tc>
      </w:tr>
      <w:tr w:rsidR="00234689" w:rsidTr="00234689">
        <w:tc>
          <w:tcPr>
            <w:tcW w:w="2789" w:type="dxa"/>
          </w:tcPr>
          <w:p w:rsidR="00234689" w:rsidRPr="00234689" w:rsidRDefault="00234689" w:rsidP="00234689">
            <w:pPr>
              <w:autoSpaceDE w:val="0"/>
              <w:autoSpaceDN w:val="0"/>
              <w:adjustRightInd w:val="0"/>
              <w:jc w:val="right"/>
              <w:rPr>
                <w:rFonts w:ascii="Lato" w:hAnsi="Lato" w:cs="Lato"/>
                <w:color w:val="000000"/>
                <w:sz w:val="16"/>
                <w:szCs w:val="16"/>
              </w:rPr>
            </w:pPr>
            <w:r w:rsidRPr="005102E2">
              <w:rPr>
                <w:rFonts w:ascii="Lato" w:hAnsi="Lato" w:cs="Lato"/>
                <w:b/>
                <w:bCs/>
                <w:color w:val="000000"/>
                <w:sz w:val="16"/>
                <w:szCs w:val="16"/>
              </w:rPr>
              <w:t xml:space="preserve"> </w:t>
            </w:r>
          </w:p>
        </w:tc>
        <w:tc>
          <w:tcPr>
            <w:tcW w:w="2789" w:type="dxa"/>
          </w:tcPr>
          <w:p w:rsidR="00234689" w:rsidRDefault="00234689" w:rsidP="00234689">
            <w:pPr>
              <w:jc w:val="center"/>
            </w:pPr>
          </w:p>
        </w:tc>
        <w:tc>
          <w:tcPr>
            <w:tcW w:w="2790" w:type="dxa"/>
          </w:tcPr>
          <w:p w:rsidR="003F3C62" w:rsidRPr="005102E2" w:rsidRDefault="003F3C62" w:rsidP="003F3C62">
            <w:pPr>
              <w:autoSpaceDE w:val="0"/>
              <w:autoSpaceDN w:val="0"/>
              <w:adjustRightInd w:val="0"/>
              <w:rPr>
                <w:rFonts w:ascii="Lato" w:hAnsi="Lato" w:cs="Lato"/>
                <w:color w:val="000000"/>
                <w:sz w:val="16"/>
                <w:szCs w:val="16"/>
              </w:rPr>
            </w:pPr>
            <w:proofErr w:type="spellStart"/>
            <w:r w:rsidRPr="005102E2">
              <w:rPr>
                <w:rFonts w:ascii="Lato" w:hAnsi="Lato" w:cs="Lato"/>
                <w:b/>
                <w:bCs/>
                <w:color w:val="000000"/>
                <w:sz w:val="16"/>
                <w:szCs w:val="16"/>
              </w:rPr>
              <w:t>Wuyagiba</w:t>
            </w:r>
            <w:proofErr w:type="spellEnd"/>
            <w:r w:rsidRPr="005102E2">
              <w:rPr>
                <w:rFonts w:ascii="Lato" w:hAnsi="Lato" w:cs="Lato"/>
                <w:b/>
                <w:bCs/>
                <w:color w:val="000000"/>
                <w:sz w:val="16"/>
                <w:szCs w:val="16"/>
              </w:rPr>
              <w:t xml:space="preserve"> Bush Hub Aboriginal Corporation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Project: </w:t>
            </w:r>
            <w:proofErr w:type="spellStart"/>
            <w:r w:rsidRPr="005102E2">
              <w:rPr>
                <w:rFonts w:ascii="Lato" w:hAnsi="Lato" w:cs="Lato"/>
                <w:color w:val="000000"/>
                <w:sz w:val="16"/>
                <w:szCs w:val="16"/>
              </w:rPr>
              <w:t>Wuyagiba</w:t>
            </w:r>
            <w:proofErr w:type="spellEnd"/>
            <w:r w:rsidRPr="005102E2">
              <w:rPr>
                <w:rFonts w:ascii="Lato" w:hAnsi="Lato" w:cs="Lato"/>
                <w:color w:val="000000"/>
                <w:sz w:val="16"/>
                <w:szCs w:val="16"/>
              </w:rPr>
              <w:t xml:space="preserve"> Store </w:t>
            </w:r>
          </w:p>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To support the establishment of a shop at the </w:t>
            </w:r>
            <w:proofErr w:type="spellStart"/>
            <w:r w:rsidRPr="005102E2">
              <w:rPr>
                <w:rFonts w:ascii="Lato" w:hAnsi="Lato" w:cs="Lato"/>
                <w:color w:val="000000"/>
                <w:sz w:val="16"/>
                <w:szCs w:val="16"/>
              </w:rPr>
              <w:t>Wuyagiba</w:t>
            </w:r>
            <w:proofErr w:type="spellEnd"/>
            <w:r w:rsidRPr="005102E2">
              <w:rPr>
                <w:rFonts w:ascii="Lato" w:hAnsi="Lato" w:cs="Lato"/>
                <w:color w:val="000000"/>
                <w:sz w:val="16"/>
                <w:szCs w:val="16"/>
              </w:rPr>
              <w:t xml:space="preserve"> Outstation which will in turn create jobs, local business aspirations and support the Study Hub. </w:t>
            </w:r>
          </w:p>
          <w:p w:rsidR="00234689" w:rsidRDefault="003F3C62" w:rsidP="003F3C62">
            <w:pPr>
              <w:jc w:val="right"/>
            </w:pPr>
            <w:r w:rsidRPr="005102E2">
              <w:rPr>
                <w:rFonts w:ascii="Lato" w:hAnsi="Lato" w:cs="Lato"/>
                <w:b/>
                <w:bCs/>
                <w:color w:val="000000"/>
                <w:sz w:val="16"/>
                <w:szCs w:val="16"/>
              </w:rPr>
              <w:t>$10,000</w:t>
            </w:r>
          </w:p>
        </w:tc>
        <w:tc>
          <w:tcPr>
            <w:tcW w:w="2790" w:type="dxa"/>
          </w:tcPr>
          <w:p w:rsidR="003F3C62" w:rsidRPr="005102E2" w:rsidRDefault="003F3C62" w:rsidP="003F3C62">
            <w:pPr>
              <w:autoSpaceDE w:val="0"/>
              <w:autoSpaceDN w:val="0"/>
              <w:adjustRightInd w:val="0"/>
              <w:rPr>
                <w:rFonts w:ascii="Lato" w:hAnsi="Lato" w:cs="Lato"/>
                <w:color w:val="000000"/>
                <w:sz w:val="16"/>
                <w:szCs w:val="16"/>
              </w:rPr>
            </w:pPr>
            <w:r w:rsidRPr="005102E2">
              <w:rPr>
                <w:rFonts w:ascii="Lato" w:hAnsi="Lato" w:cs="Lato"/>
                <w:color w:val="000000"/>
                <w:sz w:val="16"/>
                <w:szCs w:val="16"/>
              </w:rPr>
              <w:t xml:space="preserve">ARDS Cultural Competency Pilot </w:t>
            </w:r>
          </w:p>
          <w:p w:rsidR="003F3C62" w:rsidRDefault="003F3C62" w:rsidP="003F3C62">
            <w:pPr>
              <w:jc w:val="right"/>
              <w:rPr>
                <w:rFonts w:ascii="Lato" w:hAnsi="Lato" w:cs="Lato"/>
                <w:b/>
                <w:bCs/>
                <w:color w:val="000000"/>
                <w:sz w:val="16"/>
                <w:szCs w:val="16"/>
              </w:rPr>
            </w:pPr>
          </w:p>
          <w:p w:rsidR="003F3C62" w:rsidRDefault="003F3C62" w:rsidP="003F3C62">
            <w:pPr>
              <w:jc w:val="right"/>
              <w:rPr>
                <w:rFonts w:ascii="Lato" w:hAnsi="Lato" w:cs="Lato"/>
                <w:b/>
                <w:bCs/>
                <w:color w:val="000000"/>
                <w:sz w:val="16"/>
                <w:szCs w:val="16"/>
              </w:rPr>
            </w:pPr>
          </w:p>
          <w:p w:rsidR="003F3C62" w:rsidRDefault="003F3C62" w:rsidP="003F3C62">
            <w:pPr>
              <w:jc w:val="right"/>
              <w:rPr>
                <w:rFonts w:ascii="Lato" w:hAnsi="Lato" w:cs="Lato"/>
                <w:b/>
                <w:bCs/>
                <w:color w:val="000000"/>
                <w:sz w:val="16"/>
                <w:szCs w:val="16"/>
              </w:rPr>
            </w:pPr>
          </w:p>
          <w:p w:rsidR="00EF5CA6" w:rsidRDefault="00EF5CA6" w:rsidP="003F3C62">
            <w:pPr>
              <w:jc w:val="right"/>
              <w:rPr>
                <w:rFonts w:ascii="Lato" w:hAnsi="Lato" w:cs="Lato"/>
                <w:b/>
                <w:bCs/>
                <w:color w:val="000000"/>
                <w:sz w:val="16"/>
                <w:szCs w:val="16"/>
              </w:rPr>
            </w:pPr>
          </w:p>
          <w:p w:rsidR="00EF5CA6" w:rsidRDefault="00EF5CA6" w:rsidP="003F3C62">
            <w:pPr>
              <w:jc w:val="right"/>
              <w:rPr>
                <w:rFonts w:ascii="Lato" w:hAnsi="Lato" w:cs="Lato"/>
                <w:b/>
                <w:bCs/>
                <w:color w:val="000000"/>
                <w:sz w:val="16"/>
                <w:szCs w:val="16"/>
              </w:rPr>
            </w:pPr>
          </w:p>
          <w:p w:rsidR="00EF5CA6" w:rsidRDefault="00EF5CA6" w:rsidP="003F3C62">
            <w:pPr>
              <w:jc w:val="right"/>
              <w:rPr>
                <w:rFonts w:ascii="Lato" w:hAnsi="Lato" w:cs="Lato"/>
                <w:b/>
                <w:bCs/>
                <w:color w:val="000000"/>
                <w:sz w:val="16"/>
                <w:szCs w:val="16"/>
              </w:rPr>
            </w:pPr>
          </w:p>
          <w:p w:rsidR="00EF5CA6" w:rsidRDefault="00EF5CA6" w:rsidP="003F3C62">
            <w:pPr>
              <w:jc w:val="right"/>
              <w:rPr>
                <w:rFonts w:ascii="Lato" w:hAnsi="Lato" w:cs="Lato"/>
                <w:b/>
                <w:bCs/>
                <w:color w:val="000000"/>
                <w:sz w:val="16"/>
                <w:szCs w:val="16"/>
              </w:rPr>
            </w:pPr>
          </w:p>
          <w:p w:rsidR="00234689" w:rsidRDefault="003F3C62" w:rsidP="003F3C62">
            <w:pPr>
              <w:jc w:val="right"/>
            </w:pPr>
            <w:r w:rsidRPr="005102E2">
              <w:rPr>
                <w:rFonts w:ascii="Lato" w:hAnsi="Lato" w:cs="Lato"/>
                <w:b/>
                <w:bCs/>
                <w:color w:val="000000"/>
                <w:sz w:val="16"/>
                <w:szCs w:val="16"/>
              </w:rPr>
              <w:t>$14,000</w:t>
            </w:r>
          </w:p>
        </w:tc>
        <w:tc>
          <w:tcPr>
            <w:tcW w:w="2790" w:type="dxa"/>
          </w:tcPr>
          <w:p w:rsidR="00234689" w:rsidRDefault="00234689" w:rsidP="00234689">
            <w:pPr>
              <w:jc w:val="right"/>
            </w:pPr>
          </w:p>
        </w:tc>
      </w:tr>
    </w:tbl>
    <w:p w:rsidR="008C31B4" w:rsidRPr="00234689" w:rsidRDefault="003F1CFC" w:rsidP="002D75D1"/>
    <w:sectPr w:rsidR="008C31B4" w:rsidRPr="00234689" w:rsidSect="003F3C62">
      <w:headerReference w:type="first" r:id="rId6"/>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DDF" w:rsidRDefault="00ED1DDF" w:rsidP="003F3C62">
      <w:pPr>
        <w:spacing w:after="0" w:line="240" w:lineRule="auto"/>
      </w:pPr>
      <w:r>
        <w:separator/>
      </w:r>
    </w:p>
  </w:endnote>
  <w:endnote w:type="continuationSeparator" w:id="0">
    <w:p w:rsidR="00ED1DDF" w:rsidRDefault="00ED1DDF" w:rsidP="003F3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ato">
    <w:altName w:val="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DDF" w:rsidRDefault="00ED1DDF" w:rsidP="003F3C62">
      <w:pPr>
        <w:spacing w:after="0" w:line="240" w:lineRule="auto"/>
      </w:pPr>
      <w:r>
        <w:separator/>
      </w:r>
    </w:p>
  </w:footnote>
  <w:footnote w:type="continuationSeparator" w:id="0">
    <w:p w:rsidR="00ED1DDF" w:rsidRDefault="00ED1DDF" w:rsidP="003F3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C62" w:rsidRPr="003F3C62" w:rsidRDefault="003F3C62" w:rsidP="003F3C62">
    <w:pPr>
      <w:pStyle w:val="Header"/>
      <w:jc w:val="center"/>
      <w:rPr>
        <w:rFonts w:ascii="Lato" w:hAnsi="Lato"/>
        <w:b/>
      </w:rPr>
    </w:pPr>
    <w:r w:rsidRPr="003F3C62">
      <w:rPr>
        <w:rFonts w:ascii="Lato" w:hAnsi="Lato"/>
        <w:b/>
      </w:rPr>
      <w:t>REMOTE ABORIGINAL GOVERNAN</w:t>
    </w:r>
    <w:r>
      <w:rPr>
        <w:rFonts w:ascii="Lato" w:hAnsi="Lato"/>
        <w:b/>
      </w:rPr>
      <w:t>C</w:t>
    </w:r>
    <w:r w:rsidRPr="003F3C62">
      <w:rPr>
        <w:rFonts w:ascii="Lato" w:hAnsi="Lato"/>
        <w:b/>
      </w:rPr>
      <w:t>E AND CAPACITY BUILDING GRANTS RECIPIENTS 2019</w:t>
    </w:r>
  </w:p>
  <w:p w:rsidR="003F3C62" w:rsidRDefault="003F3C62" w:rsidP="003F3C62">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89"/>
    <w:rsid w:val="00234689"/>
    <w:rsid w:val="002D75D1"/>
    <w:rsid w:val="00302E26"/>
    <w:rsid w:val="003C4B0E"/>
    <w:rsid w:val="003F1CFC"/>
    <w:rsid w:val="003F3C62"/>
    <w:rsid w:val="008E01B5"/>
    <w:rsid w:val="00ED1DDF"/>
    <w:rsid w:val="00EF5C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D8175-874F-481F-A592-0CB9AD38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4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3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3C62"/>
  </w:style>
  <w:style w:type="paragraph" w:styleId="Footer">
    <w:name w:val="footer"/>
    <w:basedOn w:val="Normal"/>
    <w:link w:val="FooterChar"/>
    <w:uiPriority w:val="99"/>
    <w:unhideWhenUsed/>
    <w:rsid w:val="003F3C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Stephens</dc:creator>
  <cp:keywords/>
  <dc:description/>
  <cp:lastModifiedBy>Kim Stephens</cp:lastModifiedBy>
  <cp:revision>4</cp:revision>
  <dcterms:created xsi:type="dcterms:W3CDTF">2019-06-25T02:41:00Z</dcterms:created>
  <dcterms:modified xsi:type="dcterms:W3CDTF">2019-06-25T04:46:00Z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